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7B5" w:rsidRDefault="00BA67B5" w:rsidP="006F11C2">
      <w:pPr>
        <w:pStyle w:val="Heading1"/>
        <w:jc w:val="center"/>
        <w:rPr>
          <w:sz w:val="40"/>
          <w:szCs w:val="40"/>
        </w:rPr>
      </w:pPr>
      <w:bookmarkStart w:id="0" w:name="_Toc193188889"/>
      <w:r w:rsidRPr="00BA3E38">
        <w:rPr>
          <w:sz w:val="40"/>
          <w:szCs w:val="40"/>
        </w:rPr>
        <w:t>Entering VET students</w:t>
      </w:r>
      <w:r w:rsidR="00BA3E38" w:rsidRPr="00BA3E38">
        <w:rPr>
          <w:sz w:val="40"/>
          <w:szCs w:val="40"/>
        </w:rPr>
        <w:t xml:space="preserve"> </w:t>
      </w:r>
      <w:r w:rsidR="00BA3E38">
        <w:rPr>
          <w:sz w:val="40"/>
          <w:szCs w:val="40"/>
        </w:rPr>
        <w:t xml:space="preserve">in Schools Online </w:t>
      </w:r>
      <w:r w:rsidR="006F11C2">
        <w:rPr>
          <w:sz w:val="40"/>
          <w:szCs w:val="40"/>
        </w:rPr>
        <w:t>2011</w:t>
      </w:r>
    </w:p>
    <w:bookmarkEnd w:id="0"/>
    <w:p w:rsidR="008460F4" w:rsidRPr="008460F4" w:rsidRDefault="008460F4" w:rsidP="008460F4">
      <w:pPr>
        <w:pStyle w:val="BodyText"/>
      </w:pPr>
    </w:p>
    <w:p w:rsidR="008460F4" w:rsidRDefault="008460F4" w:rsidP="008460F4">
      <w:pPr>
        <w:pStyle w:val="BodyText"/>
        <w:numPr>
          <w:ilvl w:val="0"/>
          <w:numId w:val="1"/>
        </w:numPr>
        <w:ind w:right="1700"/>
        <w:rPr>
          <w:b/>
          <w:bCs/>
          <w:color w:val="000000"/>
        </w:rPr>
      </w:pPr>
      <w:r>
        <w:t xml:space="preserve">Select </w:t>
      </w:r>
      <w:r w:rsidRPr="00EF45AA">
        <w:rPr>
          <w:b/>
          <w:bCs/>
          <w:color w:val="000000"/>
        </w:rPr>
        <w:t>Competencies by Student</w:t>
      </w:r>
      <w:r w:rsidR="00BA3E38">
        <w:rPr>
          <w:b/>
          <w:bCs/>
          <w:color w:val="000000"/>
        </w:rPr>
        <w:t xml:space="preserve"> </w:t>
      </w:r>
      <w:r w:rsidR="00A60E77">
        <w:rPr>
          <w:noProof/>
          <w:lang w:eastAsia="en-AU"/>
        </w:rPr>
        <w:drawing>
          <wp:inline distT="0" distB="0" distL="0" distR="0">
            <wp:extent cx="495300" cy="12954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95300" cy="129540"/>
                    </a:xfrm>
                    <a:prstGeom prst="rect">
                      <a:avLst/>
                    </a:prstGeom>
                    <a:noFill/>
                    <a:ln w="9525">
                      <a:noFill/>
                      <a:miter lim="800000"/>
                      <a:headEnd/>
                      <a:tailEnd/>
                    </a:ln>
                  </pic:spPr>
                </pic:pic>
              </a:graphicData>
            </a:graphic>
          </wp:inline>
        </w:drawing>
      </w:r>
      <w:r>
        <w:t xml:space="preserve"> </w:t>
      </w:r>
      <w:r>
        <w:rPr>
          <w:color w:val="000000"/>
        </w:rPr>
        <w:t xml:space="preserve">from the Main menu or from the drop down list and click </w:t>
      </w:r>
      <w:r>
        <w:rPr>
          <w:b/>
          <w:bCs/>
          <w:color w:val="000000"/>
        </w:rPr>
        <w:t xml:space="preserve">Go. </w:t>
      </w:r>
    </w:p>
    <w:p w:rsidR="006F11C2" w:rsidRDefault="006F11C2" w:rsidP="006F11C2">
      <w:pPr>
        <w:pStyle w:val="BodyText"/>
        <w:ind w:left="360" w:right="1700"/>
        <w:rPr>
          <w:b/>
          <w:bCs/>
          <w:color w:val="000000"/>
        </w:rPr>
      </w:pPr>
    </w:p>
    <w:p w:rsidR="006F11C2" w:rsidRDefault="006F11C2" w:rsidP="006F11C2">
      <w:pPr>
        <w:pStyle w:val="BodyText"/>
        <w:ind w:left="360" w:right="1700"/>
        <w:rPr>
          <w:b/>
          <w:bCs/>
          <w:color w:val="000000"/>
        </w:rPr>
      </w:pPr>
    </w:p>
    <w:p w:rsidR="00BA67B5" w:rsidRDefault="00A60E77" w:rsidP="00BA67B5">
      <w:pPr>
        <w:pStyle w:val="BodyText"/>
        <w:ind w:left="360" w:right="1700"/>
        <w:rPr>
          <w:color w:val="000000"/>
        </w:rPr>
      </w:pPr>
      <w:r>
        <w:rPr>
          <w:noProof/>
          <w:color w:val="000000"/>
          <w:lang w:eastAsia="en-AU"/>
        </w:rPr>
        <w:drawing>
          <wp:inline distT="0" distB="0" distL="0" distR="0">
            <wp:extent cx="3185160" cy="1676400"/>
            <wp:effectExtent l="19050" t="19050" r="1524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185160" cy="1676400"/>
                    </a:xfrm>
                    <a:prstGeom prst="rect">
                      <a:avLst/>
                    </a:prstGeom>
                    <a:noFill/>
                    <a:ln w="12700" cmpd="sng">
                      <a:solidFill>
                        <a:srgbClr val="000000"/>
                      </a:solidFill>
                      <a:miter lim="800000"/>
                      <a:headEnd/>
                      <a:tailEnd/>
                    </a:ln>
                    <a:effectLst/>
                  </pic:spPr>
                </pic:pic>
              </a:graphicData>
            </a:graphic>
          </wp:inline>
        </w:drawing>
      </w:r>
    </w:p>
    <w:p w:rsidR="00BA3E38" w:rsidRDefault="00BA3E38" w:rsidP="00BA67B5">
      <w:pPr>
        <w:pStyle w:val="BodyText"/>
        <w:ind w:left="360" w:right="1700"/>
        <w:rPr>
          <w:b/>
          <w:bCs/>
          <w:color w:val="000000"/>
        </w:rPr>
      </w:pPr>
    </w:p>
    <w:p w:rsidR="00BA67B5" w:rsidRDefault="00BA67B5" w:rsidP="001202C9">
      <w:pPr>
        <w:pStyle w:val="BodyText"/>
        <w:numPr>
          <w:ilvl w:val="0"/>
          <w:numId w:val="1"/>
        </w:numPr>
        <w:ind w:right="509"/>
        <w:rPr>
          <w:color w:val="000000"/>
        </w:rPr>
      </w:pPr>
      <w:r>
        <w:rPr>
          <w:color w:val="000000"/>
        </w:rPr>
        <w:t xml:space="preserve">Select the relevant VET course. It is likely that there are </w:t>
      </w:r>
      <w:r w:rsidR="006F11C2">
        <w:rPr>
          <w:color w:val="000000"/>
        </w:rPr>
        <w:t>fewer</w:t>
      </w:r>
      <w:r>
        <w:rPr>
          <w:color w:val="000000"/>
        </w:rPr>
        <w:t xml:space="preserve"> courses displayed</w:t>
      </w:r>
      <w:r w:rsidR="001202C9">
        <w:rPr>
          <w:color w:val="000000"/>
        </w:rPr>
        <w:t xml:space="preserve"> </w:t>
      </w:r>
      <w:r>
        <w:rPr>
          <w:color w:val="000000"/>
        </w:rPr>
        <w:t>than in previous years. Your</w:t>
      </w:r>
      <w:r w:rsidR="001202C9">
        <w:rPr>
          <w:color w:val="000000"/>
        </w:rPr>
        <w:t xml:space="preserve"> RTO manager has </w:t>
      </w:r>
      <w:r>
        <w:rPr>
          <w:color w:val="000000"/>
        </w:rPr>
        <w:t>selected the courses that are available</w:t>
      </w:r>
      <w:r w:rsidR="001202C9">
        <w:rPr>
          <w:color w:val="000000"/>
        </w:rPr>
        <w:t xml:space="preserve"> for enrolment at yo</w:t>
      </w:r>
      <w:r>
        <w:rPr>
          <w:color w:val="000000"/>
        </w:rPr>
        <w:t>u</w:t>
      </w:r>
      <w:r w:rsidR="001202C9">
        <w:rPr>
          <w:color w:val="000000"/>
        </w:rPr>
        <w:t>r</w:t>
      </w:r>
      <w:r>
        <w:rPr>
          <w:color w:val="000000"/>
        </w:rPr>
        <w:t xml:space="preserve"> school. </w:t>
      </w:r>
    </w:p>
    <w:p w:rsidR="00BA3E38" w:rsidRDefault="00BA3E38" w:rsidP="00BA3E38">
      <w:pPr>
        <w:pStyle w:val="BodyText"/>
        <w:ind w:left="360" w:right="509"/>
        <w:rPr>
          <w:color w:val="000000"/>
        </w:rPr>
      </w:pPr>
    </w:p>
    <w:p w:rsidR="00BA67B5" w:rsidRDefault="00A60E77" w:rsidP="00BA67B5">
      <w:pPr>
        <w:pStyle w:val="BodyText"/>
        <w:ind w:left="360" w:right="1700"/>
        <w:rPr>
          <w:color w:val="000000"/>
        </w:rPr>
      </w:pPr>
      <w:r>
        <w:rPr>
          <w:noProof/>
          <w:color w:val="000000"/>
          <w:lang w:eastAsia="en-AU"/>
        </w:rPr>
        <w:drawing>
          <wp:inline distT="0" distB="0" distL="0" distR="0">
            <wp:extent cx="3611880" cy="2842260"/>
            <wp:effectExtent l="19050" t="19050" r="26670" b="152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611880" cy="2842260"/>
                    </a:xfrm>
                    <a:prstGeom prst="rect">
                      <a:avLst/>
                    </a:prstGeom>
                    <a:noFill/>
                    <a:ln w="6350" cmpd="sng">
                      <a:solidFill>
                        <a:srgbClr val="000000"/>
                      </a:solidFill>
                      <a:miter lim="800000"/>
                      <a:headEnd/>
                      <a:tailEnd/>
                    </a:ln>
                    <a:effectLst/>
                  </pic:spPr>
                </pic:pic>
              </a:graphicData>
            </a:graphic>
          </wp:inline>
        </w:drawing>
      </w:r>
    </w:p>
    <w:p w:rsidR="00BA3E38" w:rsidRDefault="00BA3E38" w:rsidP="00BA67B5">
      <w:pPr>
        <w:pStyle w:val="BodyText"/>
        <w:ind w:left="360" w:right="1700"/>
        <w:rPr>
          <w:color w:val="000000"/>
        </w:rPr>
      </w:pPr>
    </w:p>
    <w:p w:rsidR="008460F4" w:rsidRPr="00BA3E38" w:rsidRDefault="008460F4" w:rsidP="00BA3E38">
      <w:pPr>
        <w:pStyle w:val="BodyText"/>
        <w:numPr>
          <w:ilvl w:val="0"/>
          <w:numId w:val="1"/>
        </w:numPr>
        <w:ind w:right="1700"/>
        <w:rPr>
          <w:color w:val="000000"/>
        </w:rPr>
      </w:pPr>
      <w:r>
        <w:rPr>
          <w:color w:val="000000"/>
        </w:rPr>
        <w:t>Select</w:t>
      </w:r>
      <w:r>
        <w:rPr>
          <w:b/>
          <w:bCs/>
          <w:color w:val="000000"/>
        </w:rPr>
        <w:t xml:space="preserve"> </w:t>
      </w:r>
      <w:r w:rsidRPr="00B73AA6">
        <w:rPr>
          <w:bCs/>
          <w:color w:val="000000"/>
        </w:rPr>
        <w:t xml:space="preserve">the </w:t>
      </w:r>
      <w:r>
        <w:rPr>
          <w:bCs/>
          <w:color w:val="000000"/>
        </w:rPr>
        <w:t xml:space="preserve">relevant study year, for example </w:t>
      </w:r>
      <w:r w:rsidRPr="00B73AA6">
        <w:rPr>
          <w:bCs/>
          <w:color w:val="000000"/>
        </w:rPr>
        <w:t>Higher School Certificate</w:t>
      </w:r>
      <w:r>
        <w:rPr>
          <w:b/>
          <w:bCs/>
          <w:color w:val="000000"/>
        </w:rPr>
        <w:t xml:space="preserve"> </w:t>
      </w:r>
      <w:r>
        <w:rPr>
          <w:color w:val="000000"/>
        </w:rPr>
        <w:t xml:space="preserve">and the relevant course for example </w:t>
      </w:r>
      <w:r w:rsidR="00E44C00">
        <w:rPr>
          <w:color w:val="000000"/>
        </w:rPr>
        <w:t>Hospitali</w:t>
      </w:r>
      <w:r w:rsidR="001202C9">
        <w:rPr>
          <w:color w:val="000000"/>
        </w:rPr>
        <w:t>ty</w:t>
      </w:r>
      <w:r>
        <w:rPr>
          <w:color w:val="000000"/>
        </w:rPr>
        <w:t>,</w:t>
      </w:r>
      <w:r w:rsidR="00BA3E38">
        <w:rPr>
          <w:color w:val="000000"/>
        </w:rPr>
        <w:t xml:space="preserve"> and </w:t>
      </w:r>
      <w:r>
        <w:rPr>
          <w:color w:val="000000"/>
        </w:rPr>
        <w:t>click</w:t>
      </w:r>
      <w:r>
        <w:rPr>
          <w:b/>
          <w:bCs/>
          <w:color w:val="000000"/>
        </w:rPr>
        <w:t xml:space="preserve"> </w:t>
      </w:r>
      <w:r w:rsidRPr="00EA5E43">
        <w:rPr>
          <w:b/>
          <w:bCs/>
          <w:color w:val="000000"/>
        </w:rPr>
        <w:t>Reload</w:t>
      </w:r>
      <w:r>
        <w:rPr>
          <w:color w:val="000000"/>
        </w:rPr>
        <w:t>.</w:t>
      </w:r>
      <w:r w:rsidR="00BA3E38">
        <w:rPr>
          <w:color w:val="000000"/>
        </w:rPr>
        <w:t xml:space="preserve"> </w:t>
      </w:r>
      <w:r w:rsidRPr="00BA3E38">
        <w:rPr>
          <w:color w:val="000000"/>
        </w:rPr>
        <w:t>A list of students who are enrolled in that course will be displayed.</w:t>
      </w:r>
    </w:p>
    <w:p w:rsidR="008460F4" w:rsidRDefault="00A60E77" w:rsidP="008460F4">
      <w:pPr>
        <w:pStyle w:val="BodyText"/>
        <w:ind w:right="1700"/>
        <w:rPr>
          <w:color w:val="000000"/>
        </w:rPr>
      </w:pPr>
      <w:r>
        <w:rPr>
          <w:noProof/>
          <w:color w:val="000000"/>
          <w:lang w:eastAsia="en-AU"/>
        </w:rPr>
        <w:lastRenderedPageBreak/>
        <w:drawing>
          <wp:inline distT="0" distB="0" distL="0" distR="0">
            <wp:extent cx="5265420" cy="1950720"/>
            <wp:effectExtent l="19050" t="19050" r="11430" b="1143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265420" cy="1950720"/>
                    </a:xfrm>
                    <a:prstGeom prst="rect">
                      <a:avLst/>
                    </a:prstGeom>
                    <a:noFill/>
                    <a:ln w="12700" cmpd="sng">
                      <a:solidFill>
                        <a:srgbClr val="000000"/>
                      </a:solidFill>
                      <a:miter lim="800000"/>
                      <a:headEnd/>
                      <a:tailEnd/>
                    </a:ln>
                    <a:effectLst/>
                  </pic:spPr>
                </pic:pic>
              </a:graphicData>
            </a:graphic>
          </wp:inline>
        </w:drawing>
      </w:r>
    </w:p>
    <w:p w:rsidR="00BA3E38" w:rsidRDefault="00BA3E38" w:rsidP="008460F4">
      <w:pPr>
        <w:pStyle w:val="BodyText"/>
        <w:ind w:right="1700"/>
        <w:rPr>
          <w:color w:val="000000"/>
        </w:rPr>
      </w:pPr>
    </w:p>
    <w:p w:rsidR="00445BAD" w:rsidRDefault="00E44C00" w:rsidP="00BA67B5">
      <w:pPr>
        <w:pStyle w:val="BodyText"/>
        <w:numPr>
          <w:ilvl w:val="0"/>
          <w:numId w:val="1"/>
        </w:numPr>
        <w:ind w:right="368"/>
        <w:rPr>
          <w:color w:val="000000"/>
        </w:rPr>
      </w:pPr>
      <w:r>
        <w:rPr>
          <w:color w:val="000000"/>
        </w:rPr>
        <w:t>Select the RTO delivering the course</w:t>
      </w:r>
      <w:r w:rsidR="00445BAD">
        <w:rPr>
          <w:color w:val="000000"/>
        </w:rPr>
        <w:t>,</w:t>
      </w:r>
      <w:r w:rsidR="00BA3E38">
        <w:rPr>
          <w:color w:val="000000"/>
        </w:rPr>
        <w:t xml:space="preserve"> if more than one RTO is displayed in the drop down list</w:t>
      </w:r>
      <w:r>
        <w:rPr>
          <w:color w:val="000000"/>
        </w:rPr>
        <w:t xml:space="preserve">. </w:t>
      </w:r>
      <w:r w:rsidR="00445BAD">
        <w:rPr>
          <w:color w:val="000000"/>
        </w:rPr>
        <w:t xml:space="preserve">Press </w:t>
      </w:r>
      <w:r w:rsidR="00B22A10">
        <w:rPr>
          <w:b/>
          <w:color w:val="000000"/>
        </w:rPr>
        <w:t>R</w:t>
      </w:r>
      <w:r w:rsidR="00445BAD" w:rsidRPr="00B22A10">
        <w:rPr>
          <w:b/>
          <w:color w:val="000000"/>
        </w:rPr>
        <w:t>eload</w:t>
      </w:r>
      <w:r w:rsidR="00445BAD">
        <w:rPr>
          <w:color w:val="000000"/>
        </w:rPr>
        <w:t xml:space="preserve">. </w:t>
      </w:r>
    </w:p>
    <w:p w:rsidR="00E44C00" w:rsidRDefault="00E44C00" w:rsidP="00445BAD">
      <w:pPr>
        <w:pStyle w:val="BodyText"/>
        <w:ind w:left="360" w:right="368"/>
        <w:rPr>
          <w:color w:val="000000"/>
        </w:rPr>
      </w:pPr>
      <w:r>
        <w:rPr>
          <w:color w:val="000000"/>
        </w:rPr>
        <w:t xml:space="preserve">In most </w:t>
      </w:r>
      <w:r w:rsidR="00BA3E38">
        <w:rPr>
          <w:color w:val="000000"/>
        </w:rPr>
        <w:t xml:space="preserve">cases there will only be one RTO displayed and it will be your region, </w:t>
      </w:r>
      <w:r>
        <w:rPr>
          <w:color w:val="000000"/>
        </w:rPr>
        <w:t xml:space="preserve">however, </w:t>
      </w:r>
      <w:r w:rsidR="00B22A10">
        <w:rPr>
          <w:color w:val="000000"/>
        </w:rPr>
        <w:t>your school</w:t>
      </w:r>
      <w:r w:rsidR="00445BAD">
        <w:rPr>
          <w:color w:val="000000"/>
        </w:rPr>
        <w:t xml:space="preserve"> may have </w:t>
      </w:r>
      <w:r>
        <w:rPr>
          <w:color w:val="000000"/>
        </w:rPr>
        <w:t>private RTO</w:t>
      </w:r>
      <w:r w:rsidR="00B22A10">
        <w:rPr>
          <w:color w:val="000000"/>
        </w:rPr>
        <w:t>s</w:t>
      </w:r>
      <w:r w:rsidR="00445BAD">
        <w:rPr>
          <w:color w:val="000000"/>
        </w:rPr>
        <w:t xml:space="preserve"> delivering courses to your students</w:t>
      </w:r>
      <w:r>
        <w:rPr>
          <w:color w:val="000000"/>
        </w:rPr>
        <w:t xml:space="preserve">. </w:t>
      </w:r>
      <w:r w:rsidR="00BA3E38">
        <w:rPr>
          <w:color w:val="000000"/>
        </w:rPr>
        <w:t xml:space="preserve">Private RTOs delivering VET courses must be set up using the </w:t>
      </w:r>
      <w:r w:rsidR="00BA3E38" w:rsidRPr="00BA3E38">
        <w:rPr>
          <w:b/>
          <w:color w:val="000000"/>
        </w:rPr>
        <w:t>RTO Course delivery</w:t>
      </w:r>
      <w:r w:rsidR="00BA3E38">
        <w:rPr>
          <w:color w:val="000000"/>
        </w:rPr>
        <w:t xml:space="preserve"> option as per existing functionality. Once set up the private RTO will then display in the RTO drop down list   </w:t>
      </w:r>
      <w:r>
        <w:rPr>
          <w:color w:val="000000"/>
        </w:rPr>
        <w:t xml:space="preserve">Press </w:t>
      </w:r>
      <w:r w:rsidR="00B22A10">
        <w:rPr>
          <w:b/>
          <w:color w:val="000000"/>
        </w:rPr>
        <w:t>R</w:t>
      </w:r>
      <w:r w:rsidRPr="00B22A10">
        <w:rPr>
          <w:b/>
          <w:color w:val="000000"/>
        </w:rPr>
        <w:t>eload</w:t>
      </w:r>
      <w:r>
        <w:rPr>
          <w:color w:val="000000"/>
        </w:rPr>
        <w:t>.</w:t>
      </w:r>
    </w:p>
    <w:p w:rsidR="00445BAD" w:rsidRDefault="00445BAD" w:rsidP="00E44C00">
      <w:pPr>
        <w:pStyle w:val="BodyText"/>
        <w:ind w:left="360" w:right="368"/>
        <w:rPr>
          <w:b/>
          <w:color w:val="000000"/>
        </w:rPr>
      </w:pPr>
    </w:p>
    <w:p w:rsidR="00BA3E38" w:rsidRDefault="00E44C00" w:rsidP="00E44C00">
      <w:pPr>
        <w:pStyle w:val="BodyText"/>
        <w:ind w:left="360" w:right="368"/>
        <w:rPr>
          <w:color w:val="000000"/>
        </w:rPr>
      </w:pPr>
      <w:r w:rsidRPr="00BA3E38">
        <w:rPr>
          <w:b/>
          <w:color w:val="000000"/>
        </w:rPr>
        <w:t>Note:</w:t>
      </w:r>
      <w:r>
        <w:rPr>
          <w:color w:val="000000"/>
        </w:rPr>
        <w:t xml:space="preserve">  Courses that are TAFE delivered are </w:t>
      </w:r>
      <w:r w:rsidRPr="00E44C00">
        <w:rPr>
          <w:b/>
          <w:color w:val="000000"/>
        </w:rPr>
        <w:t>not</w:t>
      </w:r>
      <w:r>
        <w:rPr>
          <w:color w:val="000000"/>
        </w:rPr>
        <w:t xml:space="preserve"> entered</w:t>
      </w:r>
      <w:r w:rsidR="00A21A25">
        <w:rPr>
          <w:color w:val="000000"/>
        </w:rPr>
        <w:t xml:space="preserve"> using this functionality. For </w:t>
      </w:r>
      <w:r>
        <w:rPr>
          <w:color w:val="000000"/>
        </w:rPr>
        <w:t xml:space="preserve">TAFE delivered courses, enter the relevant TAFE college in the Outside school/TAFE section.   </w:t>
      </w:r>
    </w:p>
    <w:p w:rsidR="00BA3E38" w:rsidRDefault="00BA3E38" w:rsidP="00E44C00">
      <w:pPr>
        <w:pStyle w:val="BodyText"/>
        <w:ind w:left="360" w:right="368"/>
        <w:rPr>
          <w:color w:val="000000"/>
        </w:rPr>
      </w:pPr>
    </w:p>
    <w:p w:rsidR="00E44C00" w:rsidRDefault="00A60E77" w:rsidP="00E44C00">
      <w:pPr>
        <w:pStyle w:val="BodyText"/>
        <w:ind w:left="360" w:right="368"/>
        <w:rPr>
          <w:color w:val="000000"/>
        </w:rPr>
      </w:pPr>
      <w:r>
        <w:rPr>
          <w:noProof/>
          <w:color w:val="000000"/>
          <w:lang w:eastAsia="en-AU"/>
        </w:rPr>
        <w:drawing>
          <wp:inline distT="0" distB="0" distL="0" distR="0">
            <wp:extent cx="4800600" cy="1699260"/>
            <wp:effectExtent l="19050" t="19050" r="19050" b="152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4800600" cy="1699260"/>
                    </a:xfrm>
                    <a:prstGeom prst="rect">
                      <a:avLst/>
                    </a:prstGeom>
                    <a:noFill/>
                    <a:ln w="6350" cmpd="sng">
                      <a:solidFill>
                        <a:srgbClr val="000000"/>
                      </a:solidFill>
                      <a:miter lim="800000"/>
                      <a:headEnd/>
                      <a:tailEnd/>
                    </a:ln>
                    <a:effectLst/>
                  </pic:spPr>
                </pic:pic>
              </a:graphicData>
            </a:graphic>
          </wp:inline>
        </w:drawing>
      </w:r>
    </w:p>
    <w:p w:rsidR="00A21A25" w:rsidRPr="00BA67B5" w:rsidRDefault="00A21A25" w:rsidP="00445BAD">
      <w:pPr>
        <w:pStyle w:val="BodyText"/>
        <w:ind w:right="368"/>
        <w:rPr>
          <w:color w:val="000000"/>
        </w:rPr>
      </w:pPr>
    </w:p>
    <w:p w:rsidR="006F11C2" w:rsidRPr="006F11C2" w:rsidRDefault="00BA67B5" w:rsidP="006F11C2">
      <w:pPr>
        <w:pStyle w:val="BodyText"/>
        <w:numPr>
          <w:ilvl w:val="0"/>
          <w:numId w:val="1"/>
        </w:numPr>
        <w:ind w:right="368"/>
        <w:rPr>
          <w:color w:val="000000"/>
        </w:rPr>
      </w:pPr>
      <w:r w:rsidRPr="006F11C2">
        <w:rPr>
          <w:color w:val="000000"/>
        </w:rPr>
        <w:t>Select the qualification outcome</w:t>
      </w:r>
      <w:r w:rsidR="001202C9" w:rsidRPr="006F11C2">
        <w:rPr>
          <w:color w:val="000000"/>
        </w:rPr>
        <w:t xml:space="preserve"> from the drop down list, where </w:t>
      </w:r>
      <w:r w:rsidR="00E44C00" w:rsidRPr="006F11C2">
        <w:rPr>
          <w:color w:val="000000"/>
        </w:rPr>
        <w:t>more</w:t>
      </w:r>
      <w:r w:rsidR="001202C9" w:rsidRPr="006F11C2">
        <w:rPr>
          <w:color w:val="000000"/>
        </w:rPr>
        <w:t xml:space="preserve"> than one qualification has been set up by your RTO manager</w:t>
      </w:r>
      <w:r w:rsidR="006F11C2" w:rsidRPr="006F11C2">
        <w:rPr>
          <w:color w:val="000000"/>
        </w:rPr>
        <w:t xml:space="preserve"> for the course</w:t>
      </w:r>
      <w:r w:rsidRPr="006F11C2">
        <w:rPr>
          <w:color w:val="000000"/>
        </w:rPr>
        <w:t>.</w:t>
      </w:r>
      <w:r w:rsidR="00ED615E" w:rsidRPr="006F11C2">
        <w:rPr>
          <w:color w:val="000000"/>
        </w:rPr>
        <w:t xml:space="preserve"> </w:t>
      </w:r>
      <w:r w:rsidR="006F11C2" w:rsidRPr="006F11C2">
        <w:rPr>
          <w:color w:val="000000"/>
        </w:rPr>
        <w:t xml:space="preserve">Press </w:t>
      </w:r>
      <w:r w:rsidR="00B22A10">
        <w:rPr>
          <w:b/>
          <w:color w:val="000000"/>
        </w:rPr>
        <w:t>R</w:t>
      </w:r>
      <w:r w:rsidR="00B22A10" w:rsidRPr="00B22A10">
        <w:rPr>
          <w:b/>
          <w:color w:val="000000"/>
        </w:rPr>
        <w:t>eload</w:t>
      </w:r>
      <w:r w:rsidR="00B22A10">
        <w:rPr>
          <w:b/>
          <w:color w:val="000000"/>
        </w:rPr>
        <w:t>.</w:t>
      </w:r>
    </w:p>
    <w:p w:rsidR="00BA67B5" w:rsidRPr="006F11C2" w:rsidRDefault="006F11C2" w:rsidP="006F11C2">
      <w:pPr>
        <w:pStyle w:val="BodyText"/>
        <w:ind w:left="360" w:right="368"/>
        <w:rPr>
          <w:color w:val="000000"/>
        </w:rPr>
      </w:pPr>
      <w:r w:rsidRPr="006F11C2">
        <w:rPr>
          <w:b/>
          <w:color w:val="000000"/>
        </w:rPr>
        <w:t>Note:</w:t>
      </w:r>
      <w:r>
        <w:rPr>
          <w:color w:val="000000"/>
        </w:rPr>
        <w:t xml:space="preserve"> </w:t>
      </w:r>
      <w:r w:rsidR="00ED615E" w:rsidRPr="006F11C2">
        <w:rPr>
          <w:color w:val="000000"/>
        </w:rPr>
        <w:t xml:space="preserve">Not all courses have multiple qualification outcomes, in which case only the qualification set up by you RTO manager will be displayed.  </w:t>
      </w:r>
      <w:r w:rsidRPr="006F11C2">
        <w:rPr>
          <w:color w:val="000000"/>
        </w:rPr>
        <w:t xml:space="preserve"> If the qualification you require is not displayed, contact your RTO manager. </w:t>
      </w:r>
      <w:r w:rsidR="00A60E77">
        <w:rPr>
          <w:noProof/>
          <w:color w:val="000000"/>
          <w:lang w:eastAsia="en-AU"/>
        </w:rPr>
        <w:drawing>
          <wp:inline distT="0" distB="0" distL="0" distR="0">
            <wp:extent cx="4922520" cy="72390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4922520" cy="723900"/>
                    </a:xfrm>
                    <a:prstGeom prst="rect">
                      <a:avLst/>
                    </a:prstGeom>
                    <a:noFill/>
                    <a:ln w="9525">
                      <a:noFill/>
                      <a:miter lim="800000"/>
                      <a:headEnd/>
                      <a:tailEnd/>
                    </a:ln>
                  </pic:spPr>
                </pic:pic>
              </a:graphicData>
            </a:graphic>
          </wp:inline>
        </w:drawing>
      </w:r>
      <w:r w:rsidR="001202C9" w:rsidRPr="006F11C2">
        <w:rPr>
          <w:color w:val="000000"/>
        </w:rPr>
        <w:t xml:space="preserve">  </w:t>
      </w:r>
      <w:r w:rsidR="00ED615E" w:rsidRPr="006F11C2">
        <w:rPr>
          <w:color w:val="000000"/>
        </w:rPr>
        <w:t xml:space="preserve"> </w:t>
      </w:r>
    </w:p>
    <w:p w:rsidR="00ED615E" w:rsidRDefault="00B22A10" w:rsidP="00820772">
      <w:pPr>
        <w:pStyle w:val="BodyText"/>
        <w:numPr>
          <w:ilvl w:val="0"/>
          <w:numId w:val="1"/>
        </w:numPr>
        <w:ind w:right="651"/>
        <w:rPr>
          <w:color w:val="000000"/>
        </w:rPr>
      </w:pPr>
      <w:r>
        <w:rPr>
          <w:color w:val="000000"/>
        </w:rPr>
        <w:lastRenderedPageBreak/>
        <w:t>Where there ha</w:t>
      </w:r>
      <w:r w:rsidR="00ED615E">
        <w:rPr>
          <w:color w:val="000000"/>
        </w:rPr>
        <w:t xml:space="preserve">s </w:t>
      </w:r>
      <w:r>
        <w:rPr>
          <w:color w:val="000000"/>
        </w:rPr>
        <w:t xml:space="preserve">been </w:t>
      </w:r>
      <w:r w:rsidR="00ED615E">
        <w:rPr>
          <w:color w:val="000000"/>
        </w:rPr>
        <w:t>a revision of the Training Package, two</w:t>
      </w:r>
      <w:r w:rsidR="003E1019">
        <w:rPr>
          <w:color w:val="000000"/>
        </w:rPr>
        <w:t xml:space="preserve"> versions of the qualification </w:t>
      </w:r>
      <w:r w:rsidR="00820772">
        <w:rPr>
          <w:color w:val="000000"/>
        </w:rPr>
        <w:t xml:space="preserve">may be available for enrolment. The versions are labelled </w:t>
      </w:r>
      <w:r w:rsidR="00820772" w:rsidRPr="00820772">
        <w:rPr>
          <w:b/>
          <w:color w:val="000000"/>
        </w:rPr>
        <w:t>New</w:t>
      </w:r>
      <w:r w:rsidR="00820772">
        <w:rPr>
          <w:color w:val="000000"/>
        </w:rPr>
        <w:t xml:space="preserve">, for students undertaking the course for the first time (mostly Preliminary students) and </w:t>
      </w:r>
      <w:r w:rsidR="00820772" w:rsidRPr="00820772">
        <w:rPr>
          <w:b/>
          <w:color w:val="000000"/>
        </w:rPr>
        <w:t>Continuing</w:t>
      </w:r>
      <w:r w:rsidR="00820772">
        <w:rPr>
          <w:color w:val="000000"/>
        </w:rPr>
        <w:t xml:space="preserve"> for students continuing in the qualification (mostly HSC</w:t>
      </w:r>
      <w:r w:rsidR="00820772" w:rsidRPr="00820772">
        <w:rPr>
          <w:color w:val="000000"/>
        </w:rPr>
        <w:t xml:space="preserve"> </w:t>
      </w:r>
      <w:r w:rsidR="00820772">
        <w:rPr>
          <w:color w:val="000000"/>
        </w:rPr>
        <w:t>students).</w:t>
      </w:r>
      <w:r w:rsidR="006F11C2">
        <w:rPr>
          <w:color w:val="000000"/>
        </w:rPr>
        <w:t xml:space="preserve"> </w:t>
      </w:r>
    </w:p>
    <w:p w:rsidR="00820772" w:rsidRDefault="00820772" w:rsidP="00820772">
      <w:pPr>
        <w:pStyle w:val="BodyText"/>
        <w:ind w:left="360" w:right="509"/>
        <w:rPr>
          <w:color w:val="000000"/>
        </w:rPr>
      </w:pPr>
    </w:p>
    <w:p w:rsidR="00820772" w:rsidRDefault="00A60E77" w:rsidP="00820772">
      <w:pPr>
        <w:pStyle w:val="BodyText"/>
        <w:ind w:left="360" w:right="1700"/>
        <w:rPr>
          <w:color w:val="000000"/>
        </w:rPr>
      </w:pPr>
      <w:r>
        <w:rPr>
          <w:noProof/>
          <w:color w:val="000000"/>
          <w:bdr w:val="single" w:sz="8" w:space="0" w:color="000000"/>
          <w:lang w:eastAsia="en-AU"/>
        </w:rPr>
        <w:drawing>
          <wp:inline distT="0" distB="0" distL="0" distR="0">
            <wp:extent cx="5273040" cy="1363980"/>
            <wp:effectExtent l="19050" t="19050" r="22860" b="266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273040" cy="1363980"/>
                    </a:xfrm>
                    <a:prstGeom prst="rect">
                      <a:avLst/>
                    </a:prstGeom>
                    <a:noFill/>
                    <a:ln w="12700" cmpd="sng">
                      <a:solidFill>
                        <a:srgbClr val="000000"/>
                      </a:solidFill>
                      <a:miter lim="800000"/>
                      <a:headEnd/>
                      <a:tailEnd/>
                    </a:ln>
                    <a:effectLst/>
                  </pic:spPr>
                </pic:pic>
              </a:graphicData>
            </a:graphic>
          </wp:inline>
        </w:drawing>
      </w:r>
    </w:p>
    <w:p w:rsidR="00445BAD" w:rsidRDefault="00445BAD" w:rsidP="00445BAD">
      <w:pPr>
        <w:pStyle w:val="BodyText"/>
        <w:ind w:right="1700"/>
        <w:rPr>
          <w:color w:val="000000"/>
        </w:rPr>
      </w:pPr>
    </w:p>
    <w:p w:rsidR="00003713" w:rsidRDefault="00ED615E" w:rsidP="00820772">
      <w:pPr>
        <w:pStyle w:val="BodyText"/>
        <w:numPr>
          <w:ilvl w:val="0"/>
          <w:numId w:val="1"/>
        </w:numPr>
        <w:ind w:right="84"/>
        <w:rPr>
          <w:color w:val="000000"/>
        </w:rPr>
      </w:pPr>
      <w:r w:rsidRPr="00820772">
        <w:rPr>
          <w:color w:val="000000"/>
        </w:rPr>
        <w:t xml:space="preserve">Select the </w:t>
      </w:r>
      <w:r w:rsidR="00BA67B5" w:rsidRPr="00820772">
        <w:rPr>
          <w:color w:val="000000"/>
        </w:rPr>
        <w:t xml:space="preserve">specific </w:t>
      </w:r>
      <w:r w:rsidR="00820772" w:rsidRPr="00820772">
        <w:rPr>
          <w:color w:val="000000"/>
        </w:rPr>
        <w:t xml:space="preserve">students from the list </w:t>
      </w:r>
      <w:r w:rsidR="00445BAD">
        <w:rPr>
          <w:color w:val="000000"/>
        </w:rPr>
        <w:t xml:space="preserve">displayed </w:t>
      </w:r>
      <w:r w:rsidR="00B22A10">
        <w:rPr>
          <w:color w:val="000000"/>
        </w:rPr>
        <w:t>or  use the ALL</w:t>
      </w:r>
      <w:r w:rsidR="00820772" w:rsidRPr="00820772">
        <w:rPr>
          <w:color w:val="000000"/>
        </w:rPr>
        <w:t xml:space="preserve"> ACTIVE STUDENTS IN THIS COURSE functionality. </w:t>
      </w:r>
      <w:r w:rsidR="00820772">
        <w:rPr>
          <w:color w:val="000000"/>
        </w:rPr>
        <w:t>There is no change to this functionality.</w:t>
      </w:r>
      <w:r w:rsidR="00003713">
        <w:rPr>
          <w:color w:val="000000"/>
        </w:rPr>
        <w:t xml:space="preserve"> </w:t>
      </w:r>
      <w:r w:rsidR="006F11C2">
        <w:rPr>
          <w:color w:val="000000"/>
        </w:rPr>
        <w:t>To enter student</w:t>
      </w:r>
      <w:r w:rsidR="00B22A10">
        <w:rPr>
          <w:color w:val="000000"/>
        </w:rPr>
        <w:t>s</w:t>
      </w:r>
      <w:r w:rsidR="006F11C2">
        <w:rPr>
          <w:color w:val="000000"/>
        </w:rPr>
        <w:t xml:space="preserve"> in the unit/s, c</w:t>
      </w:r>
      <w:r w:rsidR="00003713">
        <w:rPr>
          <w:color w:val="000000"/>
        </w:rPr>
        <w:t xml:space="preserve">heck the box beside the units listed as per existing functionality. </w:t>
      </w:r>
    </w:p>
    <w:p w:rsidR="00003713" w:rsidRDefault="00003713" w:rsidP="00003713">
      <w:pPr>
        <w:pStyle w:val="BodyText"/>
        <w:ind w:left="360" w:right="84"/>
        <w:rPr>
          <w:color w:val="000000"/>
        </w:rPr>
      </w:pPr>
      <w:r>
        <w:rPr>
          <w:color w:val="000000"/>
        </w:rPr>
        <w:t xml:space="preserve">The units displayed will be those set up by your RTO manager. There </w:t>
      </w:r>
      <w:r w:rsidR="00B22A10">
        <w:rPr>
          <w:color w:val="000000"/>
        </w:rPr>
        <w:t>are</w:t>
      </w:r>
      <w:r>
        <w:rPr>
          <w:color w:val="000000"/>
        </w:rPr>
        <w:t xml:space="preserve"> likely to be</w:t>
      </w:r>
      <w:r w:rsidR="006F11C2">
        <w:rPr>
          <w:color w:val="000000"/>
        </w:rPr>
        <w:t xml:space="preserve"> fewer</w:t>
      </w:r>
      <w:r>
        <w:rPr>
          <w:color w:val="000000"/>
        </w:rPr>
        <w:t xml:space="preserve"> units displayed for each </w:t>
      </w:r>
      <w:r w:rsidR="006F11C2">
        <w:rPr>
          <w:color w:val="000000"/>
        </w:rPr>
        <w:t xml:space="preserve">course than in previous years. </w:t>
      </w:r>
      <w:r>
        <w:rPr>
          <w:color w:val="000000"/>
        </w:rPr>
        <w:t xml:space="preserve"> </w:t>
      </w:r>
      <w:r w:rsidR="006F11C2">
        <w:rPr>
          <w:color w:val="000000"/>
        </w:rPr>
        <w:t>If the unit of competency</w:t>
      </w:r>
      <w:r w:rsidR="00445BAD">
        <w:rPr>
          <w:color w:val="000000"/>
        </w:rPr>
        <w:t xml:space="preserve"> you require is not displayed</w:t>
      </w:r>
      <w:r w:rsidR="006F11C2">
        <w:rPr>
          <w:color w:val="000000"/>
        </w:rPr>
        <w:t xml:space="preserve">, contact your RTO manager. </w:t>
      </w:r>
    </w:p>
    <w:p w:rsidR="006F11C2" w:rsidRPr="00820772" w:rsidRDefault="006F11C2" w:rsidP="00003713">
      <w:pPr>
        <w:pStyle w:val="BodyText"/>
        <w:ind w:left="360" w:right="84"/>
        <w:rPr>
          <w:color w:val="000000"/>
        </w:rPr>
      </w:pPr>
    </w:p>
    <w:p w:rsidR="00C01F1D" w:rsidRDefault="00C01F1D" w:rsidP="00C01F1D">
      <w:pPr>
        <w:pStyle w:val="BodyText"/>
        <w:ind w:right="1700"/>
        <w:rPr>
          <w:color w:val="000000"/>
        </w:rPr>
      </w:pPr>
    </w:p>
    <w:p w:rsidR="008460F4" w:rsidRDefault="00A60E77" w:rsidP="008460F4">
      <w:pPr>
        <w:pStyle w:val="BodyText"/>
        <w:ind w:right="1700"/>
        <w:rPr>
          <w:color w:val="000000"/>
        </w:rPr>
      </w:pPr>
      <w:r>
        <w:rPr>
          <w:noProof/>
          <w:color w:val="000000"/>
          <w:bdr w:val="single" w:sz="8" w:space="0" w:color="000000"/>
          <w:lang w:eastAsia="en-AU"/>
        </w:rPr>
        <w:drawing>
          <wp:inline distT="0" distB="0" distL="0" distR="0">
            <wp:extent cx="5265420" cy="3322320"/>
            <wp:effectExtent l="19050" t="19050" r="11430" b="1143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5265420" cy="3322320"/>
                    </a:xfrm>
                    <a:prstGeom prst="rect">
                      <a:avLst/>
                    </a:prstGeom>
                    <a:noFill/>
                    <a:ln w="12700" cmpd="sng">
                      <a:solidFill>
                        <a:srgbClr val="000000"/>
                      </a:solidFill>
                      <a:miter lim="800000"/>
                      <a:headEnd/>
                      <a:tailEnd/>
                    </a:ln>
                    <a:effectLst/>
                  </pic:spPr>
                </pic:pic>
              </a:graphicData>
            </a:graphic>
          </wp:inline>
        </w:drawing>
      </w:r>
    </w:p>
    <w:p w:rsidR="00445BAD" w:rsidRDefault="00445BAD" w:rsidP="008460F4">
      <w:pPr>
        <w:pStyle w:val="BodyText"/>
        <w:ind w:right="1700"/>
        <w:rPr>
          <w:color w:val="000000"/>
        </w:rPr>
      </w:pPr>
    </w:p>
    <w:p w:rsidR="008460F4" w:rsidRDefault="008460F4" w:rsidP="00003713">
      <w:pPr>
        <w:pStyle w:val="BodyText"/>
        <w:numPr>
          <w:ilvl w:val="0"/>
          <w:numId w:val="1"/>
        </w:numPr>
        <w:ind w:right="368"/>
        <w:rPr>
          <w:color w:val="000000"/>
        </w:rPr>
      </w:pPr>
      <w:r>
        <w:rPr>
          <w:color w:val="000000"/>
        </w:rPr>
        <w:t xml:space="preserve">Where a unit of competency has a prerequisite unit, the student must be entered in the prerequisite unit first.  Details of prerequisite and co requisite units are provided in the syllabus documentation on the Board of Studies website. </w:t>
      </w:r>
      <w:hyperlink r:id="rId14" w:history="1">
        <w:r w:rsidRPr="0095486E">
          <w:rPr>
            <w:rStyle w:val="Hyperlink"/>
          </w:rPr>
          <w:t>www.boardofstudies.nsw.edu.au</w:t>
        </w:r>
      </w:hyperlink>
    </w:p>
    <w:p w:rsidR="00AE20BA" w:rsidRDefault="00003713" w:rsidP="008460F4">
      <w:pPr>
        <w:pStyle w:val="BodyText"/>
        <w:numPr>
          <w:ilvl w:val="0"/>
          <w:numId w:val="1"/>
        </w:numPr>
        <w:ind w:right="1700"/>
        <w:rPr>
          <w:color w:val="000000"/>
        </w:rPr>
      </w:pPr>
      <w:r>
        <w:rPr>
          <w:color w:val="000000"/>
        </w:rPr>
        <w:lastRenderedPageBreak/>
        <w:t>For school or private provider delivered courses</w:t>
      </w:r>
      <w:r w:rsidR="00445BAD">
        <w:rPr>
          <w:color w:val="000000"/>
        </w:rPr>
        <w:t xml:space="preserve"> only</w:t>
      </w:r>
      <w:r>
        <w:rPr>
          <w:color w:val="000000"/>
        </w:rPr>
        <w:t>, i</w:t>
      </w:r>
      <w:r w:rsidR="008460F4">
        <w:rPr>
          <w:color w:val="000000"/>
        </w:rPr>
        <w:t>ndicate if the student is a trainee or apprentice or neither.</w:t>
      </w:r>
      <w:r w:rsidR="00AE20BA">
        <w:rPr>
          <w:color w:val="000000"/>
        </w:rPr>
        <w:t xml:space="preserve"> Where the student is a trainee or apprentice enter the Training Contract Identifier.</w:t>
      </w:r>
      <w:r w:rsidR="00445BAD">
        <w:rPr>
          <w:color w:val="000000"/>
        </w:rPr>
        <w:t xml:space="preserve"> </w:t>
      </w:r>
    </w:p>
    <w:p w:rsidR="008460F4" w:rsidRDefault="00AE20BA" w:rsidP="00AE20BA">
      <w:pPr>
        <w:pStyle w:val="BodyText"/>
        <w:ind w:left="360" w:right="1700"/>
        <w:rPr>
          <w:color w:val="000000"/>
        </w:rPr>
      </w:pPr>
      <w:r>
        <w:rPr>
          <w:color w:val="000000"/>
        </w:rPr>
        <w:t xml:space="preserve"> </w:t>
      </w:r>
    </w:p>
    <w:p w:rsidR="006F11C2" w:rsidRDefault="008460F4" w:rsidP="008460F4">
      <w:pPr>
        <w:pStyle w:val="BodyText"/>
        <w:numPr>
          <w:ilvl w:val="0"/>
          <w:numId w:val="1"/>
        </w:numPr>
      </w:pPr>
      <w:r>
        <w:rPr>
          <w:color w:val="000000"/>
        </w:rPr>
        <w:t xml:space="preserve"> A </w:t>
      </w:r>
      <w:r w:rsidRPr="00491DDB">
        <w:rPr>
          <w:b/>
          <w:color w:val="000000"/>
        </w:rPr>
        <w:t>Confirmation of VET Competencies</w:t>
      </w:r>
      <w:r>
        <w:rPr>
          <w:b/>
          <w:color w:val="000000"/>
        </w:rPr>
        <w:t xml:space="preserve"> </w:t>
      </w:r>
      <w:r w:rsidRPr="00491DDB">
        <w:rPr>
          <w:color w:val="000000"/>
        </w:rPr>
        <w:t xml:space="preserve">can </w:t>
      </w:r>
      <w:r>
        <w:rPr>
          <w:color w:val="000000"/>
        </w:rPr>
        <w:t xml:space="preserve">be generated by clicking on the </w:t>
      </w:r>
      <w:r>
        <w:t xml:space="preserve">text </w:t>
      </w:r>
    </w:p>
    <w:p w:rsidR="006F11C2" w:rsidRDefault="006F11C2" w:rsidP="006F11C2">
      <w:pPr>
        <w:pStyle w:val="ListParagraph"/>
      </w:pPr>
    </w:p>
    <w:p w:rsidR="006F11C2" w:rsidRDefault="00A60E77" w:rsidP="006F11C2">
      <w:pPr>
        <w:pStyle w:val="BodyText"/>
        <w:ind w:left="360"/>
      </w:pPr>
      <w:r>
        <w:rPr>
          <w:noProof/>
          <w:lang w:eastAsia="en-AU"/>
        </w:rPr>
        <w:drawing>
          <wp:inline distT="0" distB="0" distL="0" distR="0">
            <wp:extent cx="3093720" cy="365760"/>
            <wp:effectExtent l="19050" t="19050" r="11430" b="152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3093720" cy="365760"/>
                    </a:xfrm>
                    <a:prstGeom prst="rect">
                      <a:avLst/>
                    </a:prstGeom>
                    <a:noFill/>
                    <a:ln w="12700" cmpd="sng">
                      <a:solidFill>
                        <a:srgbClr val="000000"/>
                      </a:solidFill>
                      <a:miter lim="800000"/>
                      <a:headEnd/>
                      <a:tailEnd/>
                    </a:ln>
                    <a:effectLst/>
                  </pic:spPr>
                </pic:pic>
              </a:graphicData>
            </a:graphic>
          </wp:inline>
        </w:drawing>
      </w:r>
      <w:r w:rsidR="008460F4">
        <w:t xml:space="preserve"> . </w:t>
      </w:r>
    </w:p>
    <w:p w:rsidR="006F11C2" w:rsidRDefault="006F11C2" w:rsidP="006F11C2">
      <w:pPr>
        <w:pStyle w:val="ListParagraph"/>
      </w:pPr>
    </w:p>
    <w:p w:rsidR="008460F4" w:rsidRDefault="008460F4" w:rsidP="00445BAD">
      <w:pPr>
        <w:pStyle w:val="BodyText"/>
        <w:ind w:left="360"/>
      </w:pPr>
      <w:r>
        <w:t xml:space="preserve">If the report is required on a group basis use the </w:t>
      </w:r>
      <w:r w:rsidRPr="002A0823">
        <w:rPr>
          <w:b/>
          <w:color w:val="000000"/>
        </w:rPr>
        <w:t>My Reports</w:t>
      </w:r>
      <w:r>
        <w:t xml:space="preserve"> section and generate the </w:t>
      </w:r>
      <w:r w:rsidRPr="000C0EFC">
        <w:rPr>
          <w:b/>
        </w:rPr>
        <w:t>Confirmation of</w:t>
      </w:r>
      <w:r>
        <w:t xml:space="preserve"> </w:t>
      </w:r>
      <w:r w:rsidRPr="000C0EFC">
        <w:rPr>
          <w:b/>
        </w:rPr>
        <w:t>VET Competencies Report</w:t>
      </w:r>
      <w:r>
        <w:t>.</w:t>
      </w:r>
    </w:p>
    <w:p w:rsidR="006F11C2" w:rsidRDefault="008460F4" w:rsidP="00445BAD">
      <w:pPr>
        <w:pStyle w:val="BodyText"/>
        <w:ind w:firstLine="360"/>
      </w:pPr>
      <w:r>
        <w:t xml:space="preserve">The report can be view or printed when the </w:t>
      </w:r>
      <w:r w:rsidR="00A60E77">
        <w:rPr>
          <w:noProof/>
          <w:lang w:eastAsia="en-AU"/>
        </w:rPr>
        <w:drawing>
          <wp:inline distT="0" distB="0" distL="0" distR="0">
            <wp:extent cx="220980" cy="251460"/>
            <wp:effectExtent l="1905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220980" cy="251460"/>
                    </a:xfrm>
                    <a:prstGeom prst="rect">
                      <a:avLst/>
                    </a:prstGeom>
                    <a:noFill/>
                    <a:ln w="9525">
                      <a:noFill/>
                      <a:miter lim="800000"/>
                      <a:headEnd/>
                      <a:tailEnd/>
                    </a:ln>
                  </pic:spPr>
                </pic:pic>
              </a:graphicData>
            </a:graphic>
          </wp:inline>
        </w:drawing>
      </w:r>
      <w:r>
        <w:t xml:space="preserve"> icon is displayed</w:t>
      </w:r>
      <w:r w:rsidR="006F11C2">
        <w:t>.</w:t>
      </w:r>
    </w:p>
    <w:p w:rsidR="006F11C2" w:rsidRDefault="008460F4" w:rsidP="00445BAD">
      <w:pPr>
        <w:pStyle w:val="BodyText"/>
      </w:pPr>
      <w:r>
        <w:t xml:space="preserve"> </w:t>
      </w:r>
      <w:r w:rsidR="00445BAD">
        <w:t xml:space="preserve">      </w:t>
      </w:r>
      <w:r>
        <w:t xml:space="preserve">A sample report is included below. </w:t>
      </w:r>
    </w:p>
    <w:p w:rsidR="008460F4" w:rsidRDefault="00A60E77" w:rsidP="006F11C2">
      <w:pPr>
        <w:pStyle w:val="BodyText"/>
        <w:ind w:left="-851"/>
      </w:pPr>
      <w:r>
        <w:rPr>
          <w:noProof/>
          <w:lang w:eastAsia="en-AU"/>
        </w:rPr>
        <w:drawing>
          <wp:inline distT="0" distB="0" distL="0" distR="0">
            <wp:extent cx="6926580" cy="3055620"/>
            <wp:effectExtent l="19050" t="19050" r="26670" b="1143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6926580" cy="3055620"/>
                    </a:xfrm>
                    <a:prstGeom prst="rect">
                      <a:avLst/>
                    </a:prstGeom>
                    <a:noFill/>
                    <a:ln w="9525" cmpd="sng">
                      <a:solidFill>
                        <a:srgbClr val="4F81BD"/>
                      </a:solidFill>
                      <a:miter lim="800000"/>
                      <a:headEnd/>
                      <a:tailEnd/>
                    </a:ln>
                    <a:effectLst/>
                  </pic:spPr>
                </pic:pic>
              </a:graphicData>
            </a:graphic>
          </wp:inline>
        </w:drawing>
      </w:r>
    </w:p>
    <w:sectPr w:rsidR="008460F4" w:rsidSect="003230CB">
      <w:pgSz w:w="11906" w:h="16838"/>
      <w:pgMar w:top="1440" w:right="1800" w:bottom="107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BF3"/>
    <w:multiLevelType w:val="multilevel"/>
    <w:tmpl w:val="DCA8DAEE"/>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862"/>
        </w:tabs>
        <w:ind w:left="-862" w:hanging="840"/>
      </w:pPr>
      <w:rPr>
        <w:rFonts w:hint="default"/>
      </w:rPr>
    </w:lvl>
    <w:lvl w:ilvl="2">
      <w:start w:val="1"/>
      <w:numFmt w:val="decimal"/>
      <w:lvlText w:val="%1.%2.%3"/>
      <w:lvlJc w:val="left"/>
      <w:pPr>
        <w:tabs>
          <w:tab w:val="num" w:pos="-2564"/>
        </w:tabs>
        <w:ind w:left="-2564" w:hanging="840"/>
      </w:pPr>
      <w:rPr>
        <w:rFonts w:hint="default"/>
      </w:rPr>
    </w:lvl>
    <w:lvl w:ilvl="3">
      <w:start w:val="1"/>
      <w:numFmt w:val="decimal"/>
      <w:lvlText w:val="%1.%2.%3.%4"/>
      <w:lvlJc w:val="left"/>
      <w:pPr>
        <w:tabs>
          <w:tab w:val="num" w:pos="-4266"/>
        </w:tabs>
        <w:ind w:left="-4266" w:hanging="840"/>
      </w:pPr>
      <w:rPr>
        <w:rFonts w:hint="default"/>
      </w:rPr>
    </w:lvl>
    <w:lvl w:ilvl="4">
      <w:start w:val="1"/>
      <w:numFmt w:val="decimal"/>
      <w:lvlText w:val="%1.%2.%3.%4.%5"/>
      <w:lvlJc w:val="left"/>
      <w:pPr>
        <w:tabs>
          <w:tab w:val="num" w:pos="-5728"/>
        </w:tabs>
        <w:ind w:left="-5728" w:hanging="1080"/>
      </w:pPr>
      <w:rPr>
        <w:rFonts w:hint="default"/>
      </w:rPr>
    </w:lvl>
    <w:lvl w:ilvl="5">
      <w:start w:val="1"/>
      <w:numFmt w:val="decimal"/>
      <w:lvlText w:val="%1.%2.%3.%4.%5.%6"/>
      <w:lvlJc w:val="left"/>
      <w:pPr>
        <w:tabs>
          <w:tab w:val="num" w:pos="-7430"/>
        </w:tabs>
        <w:ind w:left="-7430" w:hanging="1080"/>
      </w:pPr>
      <w:rPr>
        <w:rFonts w:hint="default"/>
      </w:rPr>
    </w:lvl>
    <w:lvl w:ilvl="6">
      <w:start w:val="1"/>
      <w:numFmt w:val="decimal"/>
      <w:lvlText w:val="%1.%2.%3.%4.%5.%6.%7"/>
      <w:lvlJc w:val="left"/>
      <w:pPr>
        <w:tabs>
          <w:tab w:val="num" w:pos="-8772"/>
        </w:tabs>
        <w:ind w:left="-8772" w:hanging="1440"/>
      </w:pPr>
      <w:rPr>
        <w:rFonts w:hint="default"/>
      </w:rPr>
    </w:lvl>
    <w:lvl w:ilvl="7">
      <w:start w:val="1"/>
      <w:numFmt w:val="decimal"/>
      <w:lvlText w:val="%1.%2.%3.%4.%5.%6.%7.%8"/>
      <w:lvlJc w:val="left"/>
      <w:pPr>
        <w:tabs>
          <w:tab w:val="num" w:pos="-10474"/>
        </w:tabs>
        <w:ind w:left="-10474" w:hanging="1440"/>
      </w:pPr>
      <w:rPr>
        <w:rFonts w:hint="default"/>
      </w:rPr>
    </w:lvl>
    <w:lvl w:ilvl="8">
      <w:start w:val="1"/>
      <w:numFmt w:val="decimal"/>
      <w:lvlText w:val="%1.%2.%3.%4.%5.%6.%7.%8.%9"/>
      <w:lvlJc w:val="left"/>
      <w:pPr>
        <w:tabs>
          <w:tab w:val="num" w:pos="-11816"/>
        </w:tabs>
        <w:ind w:left="-11816" w:hanging="1800"/>
      </w:pPr>
      <w:rPr>
        <w:rFonts w:hint="default"/>
      </w:rPr>
    </w:lvl>
  </w:abstractNum>
  <w:abstractNum w:abstractNumId="1">
    <w:nsid w:val="4C1F0445"/>
    <w:multiLevelType w:val="hybridMultilevel"/>
    <w:tmpl w:val="7FBE1ABE"/>
    <w:lvl w:ilvl="0" w:tplc="3CC00A34">
      <w:start w:val="1"/>
      <w:numFmt w:val="decimal"/>
      <w:lvlText w:val="%1."/>
      <w:lvlJc w:val="left"/>
      <w:pPr>
        <w:tabs>
          <w:tab w:val="num" w:pos="360"/>
        </w:tabs>
        <w:ind w:left="360" w:hanging="360"/>
      </w:pPr>
      <w:rPr>
        <w:rFonts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compat/>
  <w:rsids>
    <w:rsidRoot w:val="008460F4"/>
    <w:rsid w:val="00003713"/>
    <w:rsid w:val="001202C9"/>
    <w:rsid w:val="002609F8"/>
    <w:rsid w:val="003230CB"/>
    <w:rsid w:val="00356E93"/>
    <w:rsid w:val="003D4209"/>
    <w:rsid w:val="003E1019"/>
    <w:rsid w:val="00445BAD"/>
    <w:rsid w:val="006F11C2"/>
    <w:rsid w:val="00820772"/>
    <w:rsid w:val="008460F4"/>
    <w:rsid w:val="008E496D"/>
    <w:rsid w:val="00A0225D"/>
    <w:rsid w:val="00A21A25"/>
    <w:rsid w:val="00A60E77"/>
    <w:rsid w:val="00AE20BA"/>
    <w:rsid w:val="00B1176A"/>
    <w:rsid w:val="00B22A10"/>
    <w:rsid w:val="00BA3E38"/>
    <w:rsid w:val="00BA67B5"/>
    <w:rsid w:val="00BF3EBF"/>
    <w:rsid w:val="00BF3FC9"/>
    <w:rsid w:val="00C01F1D"/>
    <w:rsid w:val="00CD22D6"/>
    <w:rsid w:val="00E44C00"/>
    <w:rsid w:val="00ED615E"/>
    <w:rsid w:val="00FE0D1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60F4"/>
    <w:pPr>
      <w:keepLines/>
      <w:overflowPunct w:val="0"/>
      <w:autoSpaceDE w:val="0"/>
      <w:autoSpaceDN w:val="0"/>
      <w:adjustRightInd w:val="0"/>
      <w:spacing w:before="60" w:after="60"/>
      <w:textAlignment w:val="baseline"/>
    </w:pPr>
    <w:rPr>
      <w:kern w:val="28"/>
      <w:sz w:val="24"/>
      <w:lang w:val="en-GB" w:eastAsia="en-US"/>
    </w:rPr>
  </w:style>
  <w:style w:type="paragraph" w:styleId="Heading1">
    <w:name w:val="heading 1"/>
    <w:basedOn w:val="Normal"/>
    <w:next w:val="Normal"/>
    <w:qFormat/>
    <w:rsid w:val="008460F4"/>
    <w:pPr>
      <w:keepNext/>
      <w:spacing w:before="240"/>
      <w:outlineLvl w:val="0"/>
    </w:pPr>
    <w:rPr>
      <w:rFonts w:ascii="Arial" w:hAnsi="Arial" w:cs="Arial"/>
      <w:b/>
      <w:bCs/>
      <w:kern w:val="32"/>
      <w:sz w:val="32"/>
      <w:szCs w:val="32"/>
    </w:rPr>
  </w:style>
  <w:style w:type="paragraph" w:styleId="Heading2">
    <w:name w:val="heading 2"/>
    <w:basedOn w:val="Heading1"/>
    <w:next w:val="BodyText"/>
    <w:link w:val="Heading2Char"/>
    <w:qFormat/>
    <w:rsid w:val="008460F4"/>
    <w:pPr>
      <w:spacing w:before="300" w:after="120"/>
      <w:outlineLvl w:val="1"/>
    </w:pPr>
    <w:rPr>
      <w:rFonts w:ascii="Times New Roman" w:hAnsi="Times New Roman" w:cs="Times New Roman"/>
      <w:bCs w:val="0"/>
      <w:kern w:val="28"/>
      <w:sz w:val="4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460F4"/>
    <w:rPr>
      <w:lang w:val="en-AU"/>
    </w:rPr>
  </w:style>
  <w:style w:type="character" w:styleId="Hyperlink">
    <w:name w:val="Hyperlink"/>
    <w:basedOn w:val="DefaultParagraphFont"/>
    <w:rsid w:val="008460F4"/>
    <w:rPr>
      <w:color w:val="0000FF"/>
      <w:u w:val="single"/>
    </w:rPr>
  </w:style>
  <w:style w:type="character" w:customStyle="1" w:styleId="BodyTextChar">
    <w:name w:val="Body Text Char"/>
    <w:basedOn w:val="DefaultParagraphFont"/>
    <w:link w:val="BodyText"/>
    <w:rsid w:val="008460F4"/>
    <w:rPr>
      <w:kern w:val="28"/>
      <w:sz w:val="24"/>
      <w:lang w:val="en-AU" w:eastAsia="en-US" w:bidi="ar-SA"/>
    </w:rPr>
  </w:style>
  <w:style w:type="character" w:customStyle="1" w:styleId="Heading2Char">
    <w:name w:val="Heading 2 Char"/>
    <w:basedOn w:val="DefaultParagraphFont"/>
    <w:link w:val="Heading2"/>
    <w:rsid w:val="008460F4"/>
    <w:rPr>
      <w:b/>
      <w:kern w:val="28"/>
      <w:sz w:val="40"/>
      <w:lang w:val="en-AU" w:eastAsia="en-US" w:bidi="ar-SA"/>
    </w:rPr>
  </w:style>
  <w:style w:type="paragraph" w:styleId="ListParagraph">
    <w:name w:val="List Paragraph"/>
    <w:basedOn w:val="Normal"/>
    <w:uiPriority w:val="34"/>
    <w:qFormat/>
    <w:rsid w:val="006F11C2"/>
    <w:pPr>
      <w:ind w:left="720"/>
    </w:pPr>
  </w:style>
  <w:style w:type="paragraph" w:styleId="BalloonText">
    <w:name w:val="Balloon Text"/>
    <w:basedOn w:val="Normal"/>
    <w:link w:val="BalloonTextChar"/>
    <w:rsid w:val="00B22A10"/>
    <w:pPr>
      <w:spacing w:before="0" w:after="0"/>
    </w:pPr>
    <w:rPr>
      <w:rFonts w:ascii="Tahoma" w:hAnsi="Tahoma" w:cs="Tahoma"/>
      <w:sz w:val="16"/>
      <w:szCs w:val="16"/>
    </w:rPr>
  </w:style>
  <w:style w:type="character" w:customStyle="1" w:styleId="BalloonTextChar">
    <w:name w:val="Balloon Text Char"/>
    <w:basedOn w:val="DefaultParagraphFont"/>
    <w:link w:val="BalloonText"/>
    <w:rsid w:val="00B22A10"/>
    <w:rPr>
      <w:rFonts w:ascii="Tahoma" w:hAnsi="Tahoma" w:cs="Tahoma"/>
      <w:kern w:val="28"/>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file:///\\oxvdata.central.det.win\corp-data$\VEiS\6.4.6%20eBOS-VCS\Training\Processing%20calendar\www.boardofstudies.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D4096-8A33-42D3-B498-AB3AACD85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528</Words>
  <Characters>2843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Competencies by Student</vt:lpstr>
    </vt:vector>
  </TitlesOfParts>
  <Company>NSW Department of Education and Training</Company>
  <LinksUpToDate>false</LinksUpToDate>
  <CharactersWithSpaces>3365</CharactersWithSpaces>
  <SharedDoc>false</SharedDoc>
  <HLinks>
    <vt:vector size="6" baseType="variant">
      <vt:variant>
        <vt:i4>6225997</vt:i4>
      </vt:variant>
      <vt:variant>
        <vt:i4>0</vt:i4>
      </vt:variant>
      <vt:variant>
        <vt:i4>0</vt:i4>
      </vt:variant>
      <vt:variant>
        <vt:i4>5</vt:i4>
      </vt:variant>
      <vt:variant>
        <vt:lpwstr>www.boardofstudies.nsw.edu.au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Competencies by Student</dc:title>
  <dc:subject/>
  <dc:creator>bwakely</dc:creator>
  <cp:keywords/>
  <dc:description/>
  <cp:lastModifiedBy>marlin</cp:lastModifiedBy>
  <cp:revision>2</cp:revision>
  <cp:lastPrinted>2011-02-27T21:46:00Z</cp:lastPrinted>
  <dcterms:created xsi:type="dcterms:W3CDTF">2011-02-27T22:15:00Z</dcterms:created>
  <dcterms:modified xsi:type="dcterms:W3CDTF">2011-02-27T22:15:00Z</dcterms:modified>
</cp:coreProperties>
</file>